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A044D2" w14:textId="77777777" w:rsidR="00BB4EAC" w:rsidRPr="00A237C7" w:rsidRDefault="00BB4EAC" w:rsidP="00BB4EAC">
      <w:pPr>
        <w:autoSpaceDE w:val="0"/>
        <w:autoSpaceDN w:val="0"/>
        <w:spacing w:after="0" w:line="240" w:lineRule="auto"/>
        <w:rPr>
          <w:rFonts w:asciiTheme="majorHAnsi" w:eastAsia="Calibri" w:hAnsiTheme="majorHAnsi" w:cstheme="majorHAnsi"/>
          <w:bCs/>
          <w:color w:val="808080" w:themeColor="background1" w:themeShade="80"/>
          <w:lang w:val="fr-FR" w:eastAsia="da-DK"/>
        </w:rPr>
      </w:pPr>
      <w:bookmarkStart w:id="0" w:name="_GoBack"/>
      <w:bookmarkEnd w:id="0"/>
      <w:r w:rsidRPr="00A237C7">
        <w:rPr>
          <w:rFonts w:asciiTheme="majorHAnsi" w:eastAsia="Calibri" w:hAnsiTheme="majorHAnsi" w:cstheme="majorHAnsi"/>
          <w:bCs/>
          <w:color w:val="808080" w:themeColor="background1" w:themeShade="80"/>
          <w:lang w:val="fr-FR" w:eastAsia="da-DK"/>
        </w:rPr>
        <w:t xml:space="preserve">[ </w:t>
      </w:r>
      <w:r w:rsidR="00A237C7" w:rsidRPr="00A237C7">
        <w:rPr>
          <w:rFonts w:asciiTheme="majorHAnsi" w:eastAsia="Calibri" w:hAnsiTheme="majorHAnsi" w:cstheme="majorHAnsi"/>
          <w:bCs/>
          <w:color w:val="808080" w:themeColor="background1" w:themeShade="80"/>
          <w:lang w:val="fr-FR" w:eastAsia="da-DK"/>
        </w:rPr>
        <w:t>Expéditeur :</w:t>
      </w:r>
      <w:r w:rsidR="00A237C7">
        <w:rPr>
          <w:rFonts w:asciiTheme="majorHAnsi" w:eastAsia="Calibri" w:hAnsiTheme="majorHAnsi" w:cstheme="majorHAnsi"/>
          <w:bCs/>
          <w:color w:val="808080" w:themeColor="background1" w:themeShade="80"/>
          <w:lang w:val="fr-FR" w:eastAsia="da-DK"/>
        </w:rPr>
        <w:t xml:space="preserve"> nom, institution</w:t>
      </w:r>
      <w:r w:rsidRPr="00A237C7">
        <w:rPr>
          <w:rFonts w:asciiTheme="majorHAnsi" w:eastAsia="Calibri" w:hAnsiTheme="majorHAnsi" w:cstheme="majorHAnsi"/>
          <w:bCs/>
          <w:color w:val="808080" w:themeColor="background1" w:themeShade="80"/>
          <w:lang w:val="fr-FR" w:eastAsia="da-DK"/>
        </w:rPr>
        <w:t>/organisation,</w:t>
      </w:r>
    </w:p>
    <w:p w14:paraId="3A7D1E1B" w14:textId="77777777" w:rsidR="00BB4EAC" w:rsidRPr="00A237C7" w:rsidRDefault="00A237C7" w:rsidP="00BB4EAC">
      <w:pPr>
        <w:autoSpaceDE w:val="0"/>
        <w:autoSpaceDN w:val="0"/>
        <w:spacing w:after="0" w:line="240" w:lineRule="auto"/>
        <w:rPr>
          <w:rFonts w:asciiTheme="majorHAnsi" w:eastAsia="Calibri" w:hAnsiTheme="majorHAnsi" w:cstheme="majorHAnsi"/>
          <w:bCs/>
          <w:color w:val="808080" w:themeColor="background1" w:themeShade="80"/>
          <w:lang w:val="fr-FR" w:eastAsia="da-DK"/>
        </w:rPr>
      </w:pPr>
      <w:r w:rsidRPr="00A237C7">
        <w:rPr>
          <w:rFonts w:asciiTheme="majorHAnsi" w:eastAsia="Calibri" w:hAnsiTheme="majorHAnsi" w:cstheme="majorHAnsi"/>
          <w:bCs/>
          <w:color w:val="808080" w:themeColor="background1" w:themeShade="80"/>
          <w:lang w:val="fr-FR" w:eastAsia="da-DK"/>
        </w:rPr>
        <w:t>papier en-tête de l’organisation si possible</w:t>
      </w:r>
    </w:p>
    <w:p w14:paraId="6CF8C846" w14:textId="77777777" w:rsidR="00BB4EAC" w:rsidRPr="00A237C7" w:rsidRDefault="00BB4EAC" w:rsidP="00BB4EAC">
      <w:pPr>
        <w:autoSpaceDE w:val="0"/>
        <w:autoSpaceDN w:val="0"/>
        <w:spacing w:after="0" w:line="240" w:lineRule="auto"/>
        <w:rPr>
          <w:rFonts w:asciiTheme="majorHAnsi" w:eastAsia="Calibri" w:hAnsiTheme="majorHAnsi" w:cstheme="majorHAnsi"/>
          <w:bCs/>
          <w:color w:val="808080" w:themeColor="background1" w:themeShade="80"/>
          <w:lang w:val="fr-FR" w:eastAsia="da-DK"/>
        </w:rPr>
      </w:pPr>
      <w:r w:rsidRPr="00A237C7">
        <w:rPr>
          <w:rFonts w:asciiTheme="majorHAnsi" w:eastAsia="Calibri" w:hAnsiTheme="majorHAnsi" w:cstheme="majorHAnsi"/>
          <w:bCs/>
          <w:color w:val="808080" w:themeColor="background1" w:themeShade="80"/>
          <w:lang w:val="fr-FR" w:eastAsia="da-DK"/>
        </w:rPr>
        <w:t>Adress</w:t>
      </w:r>
      <w:r w:rsidR="00A237C7">
        <w:rPr>
          <w:rFonts w:asciiTheme="majorHAnsi" w:eastAsia="Calibri" w:hAnsiTheme="majorHAnsi" w:cstheme="majorHAnsi"/>
          <w:bCs/>
          <w:color w:val="808080" w:themeColor="background1" w:themeShade="80"/>
          <w:lang w:val="fr-FR" w:eastAsia="da-DK"/>
        </w:rPr>
        <w:t>e</w:t>
      </w:r>
      <w:r w:rsidRPr="00A237C7">
        <w:rPr>
          <w:rFonts w:asciiTheme="majorHAnsi" w:eastAsia="Calibri" w:hAnsiTheme="majorHAnsi" w:cstheme="majorHAnsi"/>
          <w:bCs/>
          <w:color w:val="808080" w:themeColor="background1" w:themeShade="80"/>
          <w:lang w:val="fr-FR" w:eastAsia="da-DK"/>
        </w:rPr>
        <w:t xml:space="preserve">, </w:t>
      </w:r>
      <w:r w:rsidR="00A237C7">
        <w:rPr>
          <w:rFonts w:asciiTheme="majorHAnsi" w:eastAsia="Calibri" w:hAnsiTheme="majorHAnsi" w:cstheme="majorHAnsi"/>
          <w:bCs/>
          <w:color w:val="808080" w:themeColor="background1" w:themeShade="80"/>
          <w:lang w:val="fr-FR" w:eastAsia="da-DK"/>
        </w:rPr>
        <w:t>pays</w:t>
      </w:r>
      <w:r w:rsidRPr="00A237C7">
        <w:rPr>
          <w:rFonts w:asciiTheme="majorHAnsi" w:eastAsia="Calibri" w:hAnsiTheme="majorHAnsi" w:cstheme="majorHAnsi"/>
          <w:bCs/>
          <w:color w:val="808080" w:themeColor="background1" w:themeShade="80"/>
          <w:lang w:val="fr-FR" w:eastAsia="da-DK"/>
        </w:rPr>
        <w:t>]</w:t>
      </w:r>
      <w:r w:rsidRPr="00A237C7">
        <w:rPr>
          <w:rFonts w:asciiTheme="majorHAnsi" w:eastAsia="Calibri" w:hAnsiTheme="majorHAnsi" w:cstheme="majorHAnsi"/>
          <w:bCs/>
          <w:color w:val="000000"/>
          <w:lang w:val="fr-FR" w:eastAsia="da-DK"/>
        </w:rPr>
        <w:tab/>
        <w:t xml:space="preserve"> </w:t>
      </w:r>
      <w:r w:rsidRPr="00A237C7">
        <w:rPr>
          <w:rFonts w:asciiTheme="majorHAnsi" w:eastAsia="Calibri" w:hAnsiTheme="majorHAnsi" w:cstheme="majorHAnsi"/>
          <w:bCs/>
          <w:color w:val="000000"/>
          <w:lang w:val="fr-FR" w:eastAsia="da-DK"/>
        </w:rPr>
        <w:tab/>
      </w:r>
      <w:r w:rsidRPr="00A237C7">
        <w:rPr>
          <w:rFonts w:asciiTheme="majorHAnsi" w:eastAsia="Calibri" w:hAnsiTheme="majorHAnsi" w:cstheme="majorHAnsi"/>
          <w:bCs/>
          <w:color w:val="000000"/>
          <w:lang w:val="fr-FR" w:eastAsia="da-DK"/>
        </w:rPr>
        <w:tab/>
      </w:r>
      <w:r w:rsidRPr="00A237C7">
        <w:rPr>
          <w:rFonts w:asciiTheme="majorHAnsi" w:eastAsia="Calibri" w:hAnsiTheme="majorHAnsi" w:cstheme="majorHAnsi"/>
          <w:bCs/>
          <w:color w:val="000000"/>
          <w:lang w:val="fr-FR" w:eastAsia="da-DK"/>
        </w:rPr>
        <w:tab/>
      </w:r>
      <w:r w:rsidRPr="00A237C7">
        <w:rPr>
          <w:rFonts w:asciiTheme="majorHAnsi" w:eastAsia="Calibri" w:hAnsiTheme="majorHAnsi" w:cstheme="majorHAnsi"/>
          <w:bCs/>
          <w:color w:val="808080" w:themeColor="background1" w:themeShade="80"/>
          <w:lang w:val="fr-FR" w:eastAsia="da-DK"/>
        </w:rPr>
        <w:t>[date                ]</w:t>
      </w:r>
    </w:p>
    <w:p w14:paraId="1F2816CC" w14:textId="77777777" w:rsidR="00BB4EAC" w:rsidRPr="00A237C7" w:rsidRDefault="00BB4EAC" w:rsidP="00BB4EAC">
      <w:pPr>
        <w:autoSpaceDE w:val="0"/>
        <w:autoSpaceDN w:val="0"/>
        <w:spacing w:after="0" w:line="240" w:lineRule="auto"/>
        <w:rPr>
          <w:rFonts w:asciiTheme="majorHAnsi" w:eastAsia="Calibri" w:hAnsiTheme="majorHAnsi" w:cstheme="majorHAnsi"/>
          <w:bCs/>
          <w:color w:val="000000"/>
          <w:lang w:val="fr-FR" w:eastAsia="da-DK"/>
        </w:rPr>
      </w:pPr>
    </w:p>
    <w:p w14:paraId="5FFF6334" w14:textId="77777777" w:rsidR="00BB4EAC" w:rsidRPr="00A237C7" w:rsidRDefault="00BB4EAC" w:rsidP="00BB4EAC">
      <w:pPr>
        <w:autoSpaceDE w:val="0"/>
        <w:autoSpaceDN w:val="0"/>
        <w:spacing w:after="0" w:line="240" w:lineRule="auto"/>
        <w:rPr>
          <w:rFonts w:asciiTheme="majorHAnsi" w:eastAsia="Calibri" w:hAnsiTheme="majorHAnsi" w:cstheme="majorHAnsi"/>
          <w:bCs/>
          <w:color w:val="000000"/>
          <w:lang w:val="fr-FR" w:eastAsia="da-DK"/>
        </w:rPr>
      </w:pPr>
    </w:p>
    <w:p w14:paraId="638DAC96" w14:textId="77777777" w:rsidR="00BB4EAC" w:rsidRPr="00A237C7" w:rsidRDefault="00AC5E59" w:rsidP="00BB4EAC">
      <w:pPr>
        <w:autoSpaceDE w:val="0"/>
        <w:autoSpaceDN w:val="0"/>
        <w:spacing w:after="0" w:line="240" w:lineRule="auto"/>
        <w:rPr>
          <w:rFonts w:asciiTheme="majorHAnsi" w:eastAsia="Calibri" w:hAnsiTheme="majorHAnsi" w:cstheme="majorHAnsi"/>
          <w:bCs/>
          <w:color w:val="000000"/>
          <w:lang w:val="fr-FR" w:eastAsia="da-DK"/>
        </w:rPr>
      </w:pPr>
      <w:r w:rsidRPr="00A237C7">
        <w:rPr>
          <w:rFonts w:asciiTheme="majorHAnsi" w:eastAsia="Calibri" w:hAnsiTheme="majorHAnsi" w:cstheme="majorHAnsi"/>
          <w:bCs/>
          <w:color w:val="000000"/>
          <w:lang w:val="fr-FR" w:eastAsia="da-DK"/>
        </w:rPr>
        <w:t>Direction Générale de la Commission Européenne</w:t>
      </w:r>
      <w:r w:rsidR="00BB4EAC" w:rsidRPr="00A237C7">
        <w:rPr>
          <w:rFonts w:asciiTheme="majorHAnsi" w:eastAsia="Calibri" w:hAnsiTheme="majorHAnsi" w:cstheme="majorHAnsi"/>
          <w:bCs/>
          <w:color w:val="000000"/>
          <w:lang w:val="fr-FR" w:eastAsia="da-DK"/>
        </w:rPr>
        <w:t xml:space="preserve"> </w:t>
      </w:r>
    </w:p>
    <w:p w14:paraId="4D22E982" w14:textId="77777777" w:rsidR="00BB4EAC" w:rsidRPr="00A237C7" w:rsidRDefault="00EC266F" w:rsidP="00BB4EAC">
      <w:pPr>
        <w:autoSpaceDE w:val="0"/>
        <w:autoSpaceDN w:val="0"/>
        <w:spacing w:after="0" w:line="240" w:lineRule="auto"/>
        <w:rPr>
          <w:rFonts w:asciiTheme="majorHAnsi" w:eastAsia="Calibri" w:hAnsiTheme="majorHAnsi" w:cstheme="majorHAnsi"/>
          <w:bCs/>
          <w:color w:val="000000"/>
          <w:lang w:val="fr-FR" w:eastAsia="da-DK"/>
        </w:rPr>
      </w:pPr>
      <w:r w:rsidRPr="00A237C7">
        <w:rPr>
          <w:rFonts w:asciiTheme="majorHAnsi" w:eastAsia="Calibri" w:hAnsiTheme="majorHAnsi" w:cstheme="majorHAnsi"/>
          <w:bCs/>
          <w:color w:val="000000"/>
          <w:lang w:val="fr-FR" w:eastAsia="da-DK"/>
        </w:rPr>
        <w:t xml:space="preserve">Unité </w:t>
      </w:r>
      <w:r w:rsidR="00BB4EAC" w:rsidRPr="00A237C7">
        <w:rPr>
          <w:rFonts w:asciiTheme="majorHAnsi" w:eastAsia="Calibri" w:hAnsiTheme="majorHAnsi" w:cstheme="majorHAnsi"/>
          <w:bCs/>
          <w:color w:val="000000"/>
          <w:lang w:val="fr-FR" w:eastAsia="da-DK"/>
        </w:rPr>
        <w:t xml:space="preserve">SANTE E.4 – </w:t>
      </w:r>
    </w:p>
    <w:p w14:paraId="4F64F319" w14:textId="77777777" w:rsidR="00BB4EAC" w:rsidRPr="00A237C7" w:rsidRDefault="00BB4EAC" w:rsidP="00BB4EAC">
      <w:pPr>
        <w:autoSpaceDE w:val="0"/>
        <w:autoSpaceDN w:val="0"/>
        <w:spacing w:after="0" w:line="240" w:lineRule="auto"/>
        <w:rPr>
          <w:rFonts w:asciiTheme="majorHAnsi" w:eastAsia="Calibri" w:hAnsiTheme="majorHAnsi" w:cstheme="majorHAnsi"/>
          <w:bCs/>
          <w:color w:val="000000"/>
          <w:lang w:val="fr-FR" w:eastAsia="da-DK"/>
        </w:rPr>
      </w:pPr>
      <w:r w:rsidRPr="00A237C7">
        <w:rPr>
          <w:rFonts w:asciiTheme="majorHAnsi" w:eastAsia="Calibri" w:hAnsiTheme="majorHAnsi" w:cstheme="majorHAnsi"/>
          <w:bCs/>
          <w:color w:val="000000"/>
          <w:lang w:val="fr-FR" w:eastAsia="da-DK"/>
        </w:rPr>
        <w:t xml:space="preserve">Pesticides </w:t>
      </w:r>
      <w:r w:rsidR="00EC266F" w:rsidRPr="00A237C7">
        <w:rPr>
          <w:rFonts w:asciiTheme="majorHAnsi" w:eastAsia="Calibri" w:hAnsiTheme="majorHAnsi" w:cstheme="majorHAnsi"/>
          <w:bCs/>
          <w:color w:val="000000"/>
          <w:lang w:val="fr-FR" w:eastAsia="da-DK"/>
        </w:rPr>
        <w:t xml:space="preserve">et </w:t>
      </w:r>
      <w:r w:rsidRPr="00A237C7">
        <w:rPr>
          <w:rFonts w:asciiTheme="majorHAnsi" w:eastAsia="Calibri" w:hAnsiTheme="majorHAnsi" w:cstheme="majorHAnsi"/>
          <w:bCs/>
          <w:color w:val="000000"/>
          <w:lang w:val="fr-FR" w:eastAsia="da-DK"/>
        </w:rPr>
        <w:t xml:space="preserve">Biocides F101 05/068 </w:t>
      </w:r>
    </w:p>
    <w:p w14:paraId="6ECEDBDF" w14:textId="77777777" w:rsidR="00BB4EAC" w:rsidRPr="00A237C7" w:rsidRDefault="00BB4EAC" w:rsidP="00BB4EAC">
      <w:pPr>
        <w:autoSpaceDE w:val="0"/>
        <w:autoSpaceDN w:val="0"/>
        <w:spacing w:after="0" w:line="240" w:lineRule="auto"/>
        <w:rPr>
          <w:rFonts w:asciiTheme="majorHAnsi" w:eastAsia="Calibri" w:hAnsiTheme="majorHAnsi" w:cstheme="majorHAnsi"/>
          <w:bCs/>
          <w:color w:val="000000"/>
          <w:lang w:val="fr-FR" w:eastAsia="da-DK"/>
        </w:rPr>
      </w:pPr>
      <w:r w:rsidRPr="00A237C7">
        <w:rPr>
          <w:rFonts w:asciiTheme="majorHAnsi" w:eastAsia="Calibri" w:hAnsiTheme="majorHAnsi" w:cstheme="majorHAnsi"/>
          <w:bCs/>
          <w:color w:val="000000"/>
          <w:lang w:val="fr-FR" w:eastAsia="da-DK"/>
        </w:rPr>
        <w:t>1049 Bru</w:t>
      </w:r>
      <w:r w:rsidR="00EC266F" w:rsidRPr="00A237C7">
        <w:rPr>
          <w:rFonts w:asciiTheme="majorHAnsi" w:eastAsia="Calibri" w:hAnsiTheme="majorHAnsi" w:cstheme="majorHAnsi"/>
          <w:bCs/>
          <w:color w:val="000000"/>
          <w:lang w:val="fr-FR" w:eastAsia="da-DK"/>
        </w:rPr>
        <w:t>xelles</w:t>
      </w:r>
    </w:p>
    <w:p w14:paraId="10D5F965" w14:textId="77777777" w:rsidR="00BB4EAC" w:rsidRPr="00A237C7" w:rsidRDefault="00BB4EAC" w:rsidP="00BB4EAC">
      <w:pPr>
        <w:pStyle w:val="Overskrift1"/>
        <w:spacing w:before="0"/>
        <w:rPr>
          <w:rFonts w:cstheme="majorHAnsi"/>
          <w:sz w:val="22"/>
          <w:szCs w:val="22"/>
          <w:lang w:val="fr-FR"/>
        </w:rPr>
      </w:pPr>
      <w:r w:rsidRPr="00A237C7">
        <w:rPr>
          <w:rFonts w:eastAsia="Calibri" w:cstheme="majorHAnsi"/>
          <w:bCs/>
          <w:color w:val="auto"/>
          <w:sz w:val="22"/>
          <w:szCs w:val="22"/>
          <w:lang w:val="fr-FR" w:eastAsia="da-DK"/>
        </w:rPr>
        <w:t>Belgi</w:t>
      </w:r>
      <w:r w:rsidR="00EC266F" w:rsidRPr="00A237C7">
        <w:rPr>
          <w:rFonts w:eastAsia="Calibri" w:cstheme="majorHAnsi"/>
          <w:bCs/>
          <w:color w:val="auto"/>
          <w:sz w:val="22"/>
          <w:szCs w:val="22"/>
          <w:lang w:val="fr-FR" w:eastAsia="da-DK"/>
        </w:rPr>
        <w:t>que</w:t>
      </w:r>
    </w:p>
    <w:p w14:paraId="7BCD4312" w14:textId="77777777" w:rsidR="00BB4EAC" w:rsidRPr="00A237C7" w:rsidRDefault="00BB4EAC" w:rsidP="00BB4EAC">
      <w:pPr>
        <w:pStyle w:val="Overskrift2"/>
        <w:rPr>
          <w:b/>
          <w:lang w:val="fr-FR"/>
        </w:rPr>
      </w:pPr>
    </w:p>
    <w:p w14:paraId="0C931043" w14:textId="77777777" w:rsidR="00EC266F" w:rsidRPr="00A237C7" w:rsidRDefault="00EC266F" w:rsidP="00281153">
      <w:pPr>
        <w:pStyle w:val="Overskrift2"/>
        <w:jc w:val="both"/>
        <w:rPr>
          <w:b/>
          <w:lang w:val="fr-FR"/>
        </w:rPr>
      </w:pPr>
      <w:r>
        <w:rPr>
          <w:b/>
          <w:lang w:val="fr-FR"/>
        </w:rPr>
        <w:t xml:space="preserve">Recours </w:t>
      </w:r>
      <w:r w:rsidRPr="00A237C7">
        <w:rPr>
          <w:b/>
          <w:lang w:val="fr-FR"/>
        </w:rPr>
        <w:t>pour les collections du patrimoine culturel : Permettre une dérogation à l'interdiction de l'azote</w:t>
      </w:r>
      <w:r>
        <w:rPr>
          <w:b/>
          <w:lang w:val="fr-FR"/>
        </w:rPr>
        <w:t xml:space="preserve"> </w:t>
      </w:r>
      <w:r w:rsidRPr="00A237C7">
        <w:rPr>
          <w:b/>
          <w:lang w:val="fr-FR"/>
        </w:rPr>
        <w:t>(EU 528/2012)</w:t>
      </w:r>
    </w:p>
    <w:p w14:paraId="00E3A499" w14:textId="77777777" w:rsidR="00EC266F" w:rsidRPr="00281153" w:rsidRDefault="00EC266F" w:rsidP="00281153">
      <w:pPr>
        <w:pStyle w:val="Overskrift2"/>
        <w:jc w:val="both"/>
        <w:rPr>
          <w:rFonts w:eastAsiaTheme="minorHAnsi" w:cstheme="majorHAnsi"/>
          <w:color w:val="auto"/>
          <w:sz w:val="24"/>
          <w:szCs w:val="24"/>
          <w:lang w:val="fr-FR"/>
        </w:rPr>
      </w:pPr>
    </w:p>
    <w:p w14:paraId="382E3549" w14:textId="77777777" w:rsidR="00EC266F" w:rsidRPr="00A237C7" w:rsidRDefault="00EC266F" w:rsidP="00281153">
      <w:pPr>
        <w:jc w:val="both"/>
        <w:rPr>
          <w:rFonts w:asciiTheme="majorHAnsi" w:hAnsiTheme="majorHAnsi" w:cstheme="majorHAnsi"/>
          <w:sz w:val="24"/>
          <w:szCs w:val="24"/>
          <w:lang w:val="fr-FR"/>
        </w:rPr>
      </w:pPr>
      <w:r w:rsidRPr="00A237C7">
        <w:rPr>
          <w:rFonts w:asciiTheme="majorHAnsi" w:hAnsiTheme="majorHAnsi" w:cstheme="majorHAnsi"/>
          <w:sz w:val="24"/>
          <w:szCs w:val="24"/>
          <w:lang w:val="fr-FR"/>
        </w:rPr>
        <w:t>Les institutions de mémoire, les musées et les monuments sont fréquemment menacés par des espèces nuisibles en raison de diverses formes de contamination et des conditions climatiques changeantes.</w:t>
      </w:r>
    </w:p>
    <w:p w14:paraId="5FBEF1BC" w14:textId="77777777" w:rsidR="00EC266F" w:rsidRPr="00A237C7" w:rsidRDefault="00EC266F" w:rsidP="00281153">
      <w:pPr>
        <w:spacing w:after="0"/>
        <w:jc w:val="both"/>
        <w:rPr>
          <w:rFonts w:asciiTheme="majorHAnsi" w:hAnsiTheme="majorHAnsi" w:cstheme="majorHAnsi"/>
          <w:sz w:val="24"/>
          <w:szCs w:val="24"/>
          <w:lang w:val="fr-FR"/>
        </w:rPr>
      </w:pPr>
      <w:r w:rsidRPr="00A237C7">
        <w:rPr>
          <w:rFonts w:asciiTheme="majorHAnsi" w:hAnsiTheme="majorHAnsi" w:cstheme="majorHAnsi"/>
          <w:sz w:val="24"/>
          <w:szCs w:val="24"/>
          <w:lang w:val="fr-FR"/>
        </w:rPr>
        <w:t>L'une des méthodes les plus polyvalentes et les plus respectueuses de l'environnement, évitant l'utilisation de produits chimiques dangereux, à des fins de désinfection est l'</w:t>
      </w:r>
      <w:r>
        <w:rPr>
          <w:rFonts w:asciiTheme="majorHAnsi" w:hAnsiTheme="majorHAnsi" w:cstheme="majorHAnsi"/>
          <w:sz w:val="24"/>
          <w:szCs w:val="24"/>
          <w:lang w:val="fr-FR"/>
        </w:rPr>
        <w:t> « </w:t>
      </w:r>
      <w:r w:rsidRPr="00A237C7">
        <w:rPr>
          <w:rFonts w:asciiTheme="majorHAnsi" w:hAnsiTheme="majorHAnsi" w:cstheme="majorHAnsi"/>
          <w:sz w:val="24"/>
          <w:szCs w:val="24"/>
          <w:lang w:val="fr-FR"/>
        </w:rPr>
        <w:t>anoxie</w:t>
      </w:r>
      <w:r>
        <w:rPr>
          <w:rFonts w:asciiTheme="majorHAnsi" w:hAnsiTheme="majorHAnsi" w:cstheme="majorHAnsi"/>
          <w:sz w:val="24"/>
          <w:szCs w:val="24"/>
          <w:lang w:val="fr-FR"/>
        </w:rPr>
        <w:t> »</w:t>
      </w:r>
      <w:r w:rsidRPr="00A237C7">
        <w:rPr>
          <w:rFonts w:asciiTheme="majorHAnsi" w:hAnsiTheme="majorHAnsi" w:cstheme="majorHAnsi"/>
          <w:sz w:val="24"/>
          <w:szCs w:val="24"/>
          <w:lang w:val="fr-FR"/>
        </w:rPr>
        <w:t xml:space="preserve"> ou les atmosphères contrôlées à très faible teneur en oxygène dans des chambres de traitement où </w:t>
      </w:r>
      <w:r w:rsidRPr="00A237C7">
        <w:rPr>
          <w:rFonts w:asciiTheme="majorHAnsi" w:hAnsiTheme="majorHAnsi" w:cstheme="majorHAnsi"/>
          <w:b/>
          <w:sz w:val="24"/>
          <w:szCs w:val="24"/>
          <w:lang w:val="fr-FR"/>
        </w:rPr>
        <w:t>l'azote est généré in situ</w:t>
      </w:r>
      <w:r w:rsidRPr="00A237C7">
        <w:rPr>
          <w:rFonts w:asciiTheme="majorHAnsi" w:hAnsiTheme="majorHAnsi" w:cstheme="majorHAnsi"/>
          <w:sz w:val="24"/>
          <w:szCs w:val="24"/>
          <w:lang w:val="fr-FR"/>
        </w:rPr>
        <w:t xml:space="preserve"> pour la désinfestation</w:t>
      </w:r>
      <w:r>
        <w:rPr>
          <w:rFonts w:asciiTheme="majorHAnsi" w:hAnsiTheme="majorHAnsi" w:cstheme="majorHAnsi"/>
          <w:sz w:val="24"/>
          <w:szCs w:val="24"/>
          <w:lang w:val="fr-FR"/>
        </w:rPr>
        <w:t xml:space="preserve"> anti-insecte par l’anoxie</w:t>
      </w:r>
      <w:r w:rsidRPr="00A237C7">
        <w:rPr>
          <w:rFonts w:asciiTheme="majorHAnsi" w:hAnsiTheme="majorHAnsi" w:cstheme="majorHAnsi"/>
          <w:sz w:val="24"/>
          <w:szCs w:val="24"/>
          <w:lang w:val="fr-FR"/>
        </w:rPr>
        <w:t xml:space="preserve"> des objets du patrimoine culturel.</w:t>
      </w:r>
    </w:p>
    <w:p w14:paraId="3B4C91CA" w14:textId="77777777" w:rsidR="00430A8E" w:rsidRPr="00281153" w:rsidRDefault="00430A8E" w:rsidP="00281153">
      <w:pPr>
        <w:spacing w:after="0"/>
        <w:jc w:val="both"/>
        <w:rPr>
          <w:rFonts w:asciiTheme="majorHAnsi" w:hAnsiTheme="majorHAnsi" w:cstheme="majorHAnsi"/>
          <w:sz w:val="24"/>
          <w:szCs w:val="24"/>
          <w:u w:val="single"/>
          <w:lang w:val="fr-FR"/>
        </w:rPr>
      </w:pPr>
    </w:p>
    <w:p w14:paraId="0381B9B8" w14:textId="77777777" w:rsidR="00EC266F" w:rsidRPr="00A237C7" w:rsidRDefault="00EC266F" w:rsidP="0028115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4"/>
          <w:szCs w:val="24"/>
          <w:u w:val="single"/>
          <w:lang w:val="fr-FR"/>
        </w:rPr>
      </w:pPr>
      <w:r w:rsidRPr="00A237C7">
        <w:rPr>
          <w:rFonts w:asciiTheme="majorHAnsi" w:hAnsiTheme="majorHAnsi" w:cstheme="majorHAnsi"/>
          <w:sz w:val="24"/>
          <w:szCs w:val="24"/>
          <w:u w:val="single"/>
          <w:lang w:val="fr-FR"/>
        </w:rPr>
        <w:t>La question de la législation de l'UE</w:t>
      </w:r>
    </w:p>
    <w:p w14:paraId="22BE7853" w14:textId="77777777" w:rsidR="00EC266F" w:rsidRPr="00A237C7" w:rsidRDefault="00EC266F" w:rsidP="0028115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4"/>
          <w:szCs w:val="24"/>
          <w:lang w:val="fr-FR"/>
        </w:rPr>
      </w:pPr>
      <w:r w:rsidRPr="00A237C7">
        <w:rPr>
          <w:rFonts w:asciiTheme="majorHAnsi" w:hAnsiTheme="majorHAnsi" w:cstheme="majorHAnsi"/>
          <w:sz w:val="24"/>
          <w:szCs w:val="24"/>
          <w:lang w:val="fr-FR"/>
        </w:rPr>
        <w:t xml:space="preserve">Depuis l'enregistrement obligatoire de l'utilisation de l'azote à des fins de désinfection par le règlement UE 528/2012 sur les produits biocides en septembre 2017, une seule méthode d'utilisation de l'azote (ainsi que plusieurs autres restrictions) a été reconnue et incluse : l'azote </w:t>
      </w:r>
      <w:r>
        <w:rPr>
          <w:rFonts w:asciiTheme="majorHAnsi" w:hAnsiTheme="majorHAnsi" w:cstheme="majorHAnsi"/>
          <w:sz w:val="24"/>
          <w:szCs w:val="24"/>
          <w:lang w:val="fr-FR"/>
        </w:rPr>
        <w:t xml:space="preserve">stockée </w:t>
      </w:r>
      <w:r w:rsidR="00CE3F22">
        <w:rPr>
          <w:rFonts w:asciiTheme="majorHAnsi" w:hAnsiTheme="majorHAnsi" w:cstheme="majorHAnsi"/>
          <w:sz w:val="24"/>
          <w:szCs w:val="24"/>
          <w:lang w:val="fr-FR"/>
        </w:rPr>
        <w:t>sous forme de bidons</w:t>
      </w:r>
      <w:r w:rsidRPr="00A237C7">
        <w:rPr>
          <w:rFonts w:asciiTheme="majorHAnsi" w:hAnsiTheme="majorHAnsi" w:cstheme="majorHAnsi"/>
          <w:sz w:val="24"/>
          <w:szCs w:val="24"/>
          <w:lang w:val="fr-FR"/>
        </w:rPr>
        <w:t xml:space="preserve">. L'azote produit in situ </w:t>
      </w:r>
      <w:r w:rsidR="00CE3F22">
        <w:rPr>
          <w:rFonts w:asciiTheme="majorHAnsi" w:hAnsiTheme="majorHAnsi" w:cstheme="majorHAnsi"/>
          <w:sz w:val="24"/>
          <w:szCs w:val="24"/>
          <w:lang w:val="fr-FR"/>
        </w:rPr>
        <w:t>n’est plus autorisée</w:t>
      </w:r>
      <w:r w:rsidRPr="00A237C7">
        <w:rPr>
          <w:rFonts w:asciiTheme="majorHAnsi" w:hAnsiTheme="majorHAnsi" w:cstheme="majorHAnsi"/>
          <w:sz w:val="24"/>
          <w:szCs w:val="24"/>
          <w:lang w:val="fr-FR"/>
        </w:rPr>
        <w:t>. L'interdiction de l'azote n'est pas justifiée pour des raisons de santé et de préjudice économique pour le marché des acteurs européens de la lutte intégrée contre les ravageurs (IPM).</w:t>
      </w:r>
    </w:p>
    <w:p w14:paraId="001ACFA3" w14:textId="77777777" w:rsidR="00EC266F" w:rsidRDefault="00EC266F" w:rsidP="0028115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4"/>
          <w:szCs w:val="24"/>
          <w:u w:val="single"/>
          <w:lang w:val="fr-FR"/>
        </w:rPr>
      </w:pPr>
    </w:p>
    <w:p w14:paraId="1F9C5EA2" w14:textId="77777777" w:rsidR="00CE3F22" w:rsidRPr="00A237C7" w:rsidRDefault="00CE3F22" w:rsidP="0028115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  <w:sz w:val="24"/>
          <w:szCs w:val="24"/>
          <w:lang w:val="fr-FR"/>
        </w:rPr>
      </w:pPr>
      <w:r w:rsidRPr="00A237C7">
        <w:rPr>
          <w:rFonts w:asciiTheme="majorHAnsi" w:hAnsiTheme="majorHAnsi" w:cstheme="majorHAnsi"/>
          <w:sz w:val="24"/>
          <w:szCs w:val="24"/>
          <w:lang w:val="fr-FR"/>
        </w:rPr>
        <w:t>En raison de cette lacune juridique, les installations d'anoxie existantes en Europe ne peuvent plus être exploitées légalement. En conséquence, les institutions du patrimoine culturel sont confrontées à un grave danger de dommages ou de pertes irrémédiables.</w:t>
      </w:r>
    </w:p>
    <w:p w14:paraId="4CE72C18" w14:textId="77777777" w:rsidR="00CE3F22" w:rsidRPr="00A237C7" w:rsidRDefault="00CE3F22" w:rsidP="00281153">
      <w:pPr>
        <w:spacing w:after="0"/>
        <w:jc w:val="both"/>
        <w:rPr>
          <w:rFonts w:asciiTheme="majorHAnsi" w:hAnsiTheme="majorHAnsi" w:cstheme="majorHAnsi"/>
          <w:sz w:val="24"/>
          <w:szCs w:val="24"/>
          <w:lang w:val="fr-FR"/>
        </w:rPr>
      </w:pPr>
    </w:p>
    <w:p w14:paraId="5B936245" w14:textId="77777777" w:rsidR="00CE3F22" w:rsidRPr="00A237C7" w:rsidRDefault="00CE3F22" w:rsidP="00281153">
      <w:pPr>
        <w:spacing w:after="0"/>
        <w:jc w:val="both"/>
        <w:rPr>
          <w:rFonts w:asciiTheme="majorHAnsi" w:hAnsiTheme="majorHAnsi" w:cstheme="majorHAnsi"/>
          <w:sz w:val="24"/>
          <w:szCs w:val="24"/>
          <w:lang w:val="fr-FR"/>
        </w:rPr>
      </w:pPr>
      <w:r w:rsidRPr="00A237C7">
        <w:rPr>
          <w:rFonts w:asciiTheme="majorHAnsi" w:hAnsiTheme="majorHAnsi" w:cstheme="majorHAnsi"/>
          <w:b/>
          <w:sz w:val="24"/>
          <w:szCs w:val="24"/>
          <w:lang w:val="fr-FR"/>
        </w:rPr>
        <w:t>J'invite donc instamment la Commission à autoriser une dérogation au titre de l'article 55, paragraphe 3, dans le RPB, aux États membres qui en font la demande,</w:t>
      </w:r>
      <w:r w:rsidRPr="00A237C7">
        <w:rPr>
          <w:rFonts w:asciiTheme="majorHAnsi" w:hAnsiTheme="majorHAnsi" w:cstheme="majorHAnsi"/>
          <w:sz w:val="24"/>
          <w:szCs w:val="24"/>
          <w:lang w:val="fr-FR"/>
        </w:rPr>
        <w:t xml:space="preserve"> </w:t>
      </w:r>
      <w:r>
        <w:rPr>
          <w:rFonts w:asciiTheme="majorHAnsi" w:hAnsiTheme="majorHAnsi" w:cstheme="majorHAnsi"/>
          <w:sz w:val="24"/>
          <w:szCs w:val="24"/>
          <w:lang w:val="fr-FR"/>
        </w:rPr>
        <w:t>du fait</w:t>
      </w:r>
      <w:r w:rsidRPr="00A237C7">
        <w:rPr>
          <w:rFonts w:asciiTheme="majorHAnsi" w:hAnsiTheme="majorHAnsi" w:cstheme="majorHAnsi"/>
          <w:sz w:val="24"/>
          <w:szCs w:val="24"/>
          <w:lang w:val="fr-FR"/>
        </w:rPr>
        <w:t xml:space="preserve"> que cette méthode permet de traiter toute matière en toute sécurité, contrairement aux autres méthodes. L'azote produit in situ est inoffensif, l'alternative la plus économique et la plus écologique à l'utilisation actuellement autorisée de l'azote à cette fin.</w:t>
      </w:r>
    </w:p>
    <w:p w14:paraId="402DCAD5" w14:textId="77777777" w:rsidR="00CE3F22" w:rsidRPr="00CE3F22" w:rsidRDefault="00CE3F22" w:rsidP="00281153">
      <w:pPr>
        <w:spacing w:after="0"/>
        <w:jc w:val="both"/>
        <w:rPr>
          <w:rFonts w:asciiTheme="majorHAnsi" w:hAnsiTheme="majorHAnsi" w:cstheme="majorHAnsi"/>
          <w:sz w:val="24"/>
          <w:szCs w:val="24"/>
          <w:u w:val="single"/>
          <w:lang w:val="fr-FR"/>
        </w:rPr>
      </w:pPr>
    </w:p>
    <w:p w14:paraId="37CB1815" w14:textId="77777777" w:rsidR="00430A8E" w:rsidRPr="00A237C7" w:rsidRDefault="00A237C7" w:rsidP="00281153">
      <w:pPr>
        <w:spacing w:after="0"/>
        <w:jc w:val="both"/>
        <w:rPr>
          <w:rFonts w:asciiTheme="majorHAnsi" w:hAnsiTheme="majorHAnsi" w:cstheme="majorHAnsi"/>
          <w:sz w:val="24"/>
          <w:szCs w:val="24"/>
          <w:lang w:val="fr-FR"/>
        </w:rPr>
      </w:pPr>
      <w:r>
        <w:rPr>
          <w:rFonts w:asciiTheme="majorHAnsi" w:hAnsiTheme="majorHAnsi" w:cstheme="majorHAnsi"/>
          <w:sz w:val="24"/>
          <w:szCs w:val="24"/>
          <w:lang w:val="fr-FR"/>
        </w:rPr>
        <w:t>Je reste d</w:t>
      </w:r>
      <w:r w:rsidRPr="00A237C7">
        <w:rPr>
          <w:rFonts w:asciiTheme="majorHAnsi" w:hAnsiTheme="majorHAnsi" w:cstheme="majorHAnsi"/>
          <w:sz w:val="24"/>
          <w:szCs w:val="24"/>
          <w:lang w:val="fr-FR"/>
        </w:rPr>
        <w:t>ans l’attente de votre réponse sur cette question</w:t>
      </w:r>
      <w:r>
        <w:rPr>
          <w:rFonts w:asciiTheme="majorHAnsi" w:hAnsiTheme="majorHAnsi" w:cstheme="majorHAnsi"/>
          <w:sz w:val="24"/>
          <w:szCs w:val="24"/>
          <w:lang w:val="fr-FR"/>
        </w:rPr>
        <w:t>.</w:t>
      </w:r>
    </w:p>
    <w:p w14:paraId="0567BB25" w14:textId="77777777" w:rsidR="00BB4EAC" w:rsidRPr="00A237C7" w:rsidRDefault="00BB4EAC" w:rsidP="00430A8E">
      <w:pPr>
        <w:spacing w:after="0"/>
        <w:jc w:val="both"/>
        <w:rPr>
          <w:rFonts w:asciiTheme="majorHAnsi" w:hAnsiTheme="majorHAnsi" w:cstheme="majorHAnsi"/>
          <w:sz w:val="24"/>
          <w:szCs w:val="24"/>
          <w:lang w:val="fr-FR"/>
        </w:rPr>
      </w:pPr>
    </w:p>
    <w:p w14:paraId="778321ED" w14:textId="77777777" w:rsidR="00BB4EAC" w:rsidRPr="00A237C7" w:rsidRDefault="00BB4EAC" w:rsidP="00430A8E">
      <w:pPr>
        <w:spacing w:after="0"/>
        <w:jc w:val="both"/>
        <w:rPr>
          <w:rFonts w:asciiTheme="majorHAnsi" w:hAnsiTheme="majorHAnsi" w:cstheme="majorHAnsi"/>
          <w:sz w:val="24"/>
          <w:szCs w:val="24"/>
          <w:lang w:val="fr-FR"/>
        </w:rPr>
      </w:pPr>
    </w:p>
    <w:p w14:paraId="7CB976BB" w14:textId="77777777" w:rsidR="00A237C7" w:rsidRDefault="00A237C7" w:rsidP="00430A8E">
      <w:pPr>
        <w:spacing w:after="0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proofErr w:type="spellStart"/>
      <w:r>
        <w:rPr>
          <w:rFonts w:asciiTheme="majorHAnsi" w:hAnsiTheme="majorHAnsi" w:cstheme="majorHAnsi"/>
          <w:sz w:val="24"/>
          <w:szCs w:val="24"/>
          <w:lang w:val="en-US"/>
        </w:rPr>
        <w:t>Cordialement</w:t>
      </w:r>
      <w:proofErr w:type="spellEnd"/>
    </w:p>
    <w:p w14:paraId="720CEB07" w14:textId="77777777" w:rsidR="00156D9C" w:rsidRPr="00BB4EAC" w:rsidRDefault="00BB4EAC" w:rsidP="00A237C7">
      <w:pPr>
        <w:spacing w:after="0"/>
        <w:jc w:val="both"/>
        <w:rPr>
          <w:rFonts w:asciiTheme="majorHAnsi" w:hAnsiTheme="majorHAnsi" w:cstheme="majorHAnsi"/>
          <w:lang w:val="en-US"/>
        </w:rPr>
      </w:pPr>
      <w:proofErr w:type="gramStart"/>
      <w:r w:rsidRPr="00BB4EAC">
        <w:rPr>
          <w:rFonts w:asciiTheme="majorHAnsi" w:hAnsiTheme="majorHAnsi" w:cstheme="majorHAnsi"/>
          <w:color w:val="808080" w:themeColor="background1" w:themeShade="80"/>
          <w:sz w:val="24"/>
          <w:szCs w:val="24"/>
          <w:lang w:val="en-US"/>
        </w:rPr>
        <w:t xml:space="preserve">[  </w:t>
      </w:r>
      <w:r w:rsidR="00A237C7">
        <w:rPr>
          <w:rFonts w:asciiTheme="majorHAnsi" w:hAnsiTheme="majorHAnsi" w:cstheme="majorHAnsi"/>
          <w:color w:val="808080" w:themeColor="background1" w:themeShade="80"/>
          <w:sz w:val="24"/>
          <w:szCs w:val="24"/>
          <w:lang w:val="en-US"/>
        </w:rPr>
        <w:t>nom</w:t>
      </w:r>
      <w:proofErr w:type="gramEnd"/>
      <w:r w:rsidR="00A237C7" w:rsidRPr="00BB4EAC">
        <w:rPr>
          <w:rFonts w:asciiTheme="majorHAnsi" w:hAnsiTheme="majorHAnsi" w:cstheme="majorHAnsi"/>
          <w:color w:val="808080" w:themeColor="background1" w:themeShade="80"/>
          <w:sz w:val="24"/>
          <w:szCs w:val="24"/>
          <w:lang w:val="en-US"/>
        </w:rPr>
        <w:t xml:space="preserve">       </w:t>
      </w:r>
      <w:r w:rsidRPr="00BB4EAC">
        <w:rPr>
          <w:rFonts w:asciiTheme="majorHAnsi" w:hAnsiTheme="majorHAnsi" w:cstheme="majorHAnsi"/>
          <w:color w:val="808080" w:themeColor="background1" w:themeShade="80"/>
          <w:sz w:val="24"/>
          <w:szCs w:val="24"/>
          <w:lang w:val="en-US"/>
        </w:rPr>
        <w:t>]</w:t>
      </w:r>
    </w:p>
    <w:sectPr w:rsidR="00156D9C" w:rsidRPr="00BB4EAC" w:rsidSect="00A237C7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A8E"/>
    <w:rsid w:val="00110037"/>
    <w:rsid w:val="00156D9C"/>
    <w:rsid w:val="002337D3"/>
    <w:rsid w:val="00234C0C"/>
    <w:rsid w:val="00281153"/>
    <w:rsid w:val="003B0717"/>
    <w:rsid w:val="00430A8E"/>
    <w:rsid w:val="004C73FC"/>
    <w:rsid w:val="00532CD7"/>
    <w:rsid w:val="00844F80"/>
    <w:rsid w:val="00A237C7"/>
    <w:rsid w:val="00A93016"/>
    <w:rsid w:val="00AC5E59"/>
    <w:rsid w:val="00BB4EAC"/>
    <w:rsid w:val="00CE3F22"/>
    <w:rsid w:val="00D23DD9"/>
    <w:rsid w:val="00DA0965"/>
    <w:rsid w:val="00DC22EF"/>
    <w:rsid w:val="00E47530"/>
    <w:rsid w:val="00EC266F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F713D"/>
  <w15:docId w15:val="{485DD7A7-8CB0-444C-81AC-17B5E9E1B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0A8E"/>
  </w:style>
  <w:style w:type="paragraph" w:styleId="Overskrift1">
    <w:name w:val="heading 1"/>
    <w:basedOn w:val="Normal"/>
    <w:next w:val="Normal"/>
    <w:link w:val="Overskrift1Tegn"/>
    <w:uiPriority w:val="9"/>
    <w:qFormat/>
    <w:rsid w:val="00DA09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B4E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A09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BB4EA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23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23D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5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A2B02CFA</Template>
  <TotalTime>0</TotalTime>
  <Pages>1</Pages>
  <Words>330</Words>
  <Characters>2018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Nationalmuseet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Strætkvern, Kristiane</dc:creator>
  <cp:lastModifiedBy>Strætkvern, Kristiane</cp:lastModifiedBy>
  <cp:revision>2</cp:revision>
  <dcterms:created xsi:type="dcterms:W3CDTF">2019-12-10T13:10:00Z</dcterms:created>
  <dcterms:modified xsi:type="dcterms:W3CDTF">2019-12-10T13:10:00Z</dcterms:modified>
</cp:coreProperties>
</file>